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D4E" w:rsidRDefault="00116D4E" w:rsidP="00116D4E">
      <w:pPr>
        <w:jc w:val="center"/>
        <w:rPr>
          <w:b/>
          <w:sz w:val="24"/>
          <w:szCs w:val="24"/>
        </w:rPr>
      </w:pPr>
    </w:p>
    <w:p w:rsidR="00F82BA6" w:rsidRPr="00116D4E" w:rsidRDefault="00F82BA6" w:rsidP="00116D4E">
      <w:pPr>
        <w:jc w:val="center"/>
        <w:rPr>
          <w:b/>
          <w:sz w:val="24"/>
          <w:szCs w:val="24"/>
        </w:rPr>
      </w:pPr>
      <w:r w:rsidRPr="00116D4E">
        <w:rPr>
          <w:b/>
          <w:sz w:val="24"/>
          <w:szCs w:val="24"/>
        </w:rPr>
        <w:t>ACTA ENTREGA RECEPCIÓN DE GPS ENTRE LA UNIDAD EJECUTORA MAGAP PRAT  Y EL GOBIERNO AUTÓNOMO DESCENTRALIZADO MUNICIPAL DEL CANTÓN OLMEDO</w:t>
      </w:r>
    </w:p>
    <w:p w:rsidR="00F82BA6" w:rsidRPr="00116D4E" w:rsidRDefault="00F82BA6">
      <w:pPr>
        <w:rPr>
          <w:b/>
          <w:sz w:val="24"/>
          <w:szCs w:val="24"/>
        </w:rPr>
      </w:pPr>
    </w:p>
    <w:p w:rsidR="0060081C" w:rsidRPr="00116D4E" w:rsidRDefault="0060081C">
      <w:pPr>
        <w:rPr>
          <w:b/>
        </w:rPr>
      </w:pPr>
      <w:r w:rsidRPr="00116D4E">
        <w:rPr>
          <w:b/>
        </w:rPr>
        <w:t>ANTECEDENTES</w:t>
      </w:r>
    </w:p>
    <w:p w:rsidR="0060081C" w:rsidRPr="00116D4E" w:rsidRDefault="0060081C" w:rsidP="0060081C">
      <w:pPr>
        <w:jc w:val="both"/>
      </w:pPr>
      <w:r w:rsidRPr="00116D4E">
        <w:t xml:space="preserve">El 23 de enero de 2011, </w:t>
      </w:r>
      <w:r w:rsidR="00116D4E" w:rsidRPr="00116D4E">
        <w:t xml:space="preserve">la Unidad Ejecutora MAGAP PRAT </w:t>
      </w:r>
      <w:r w:rsidRPr="00116D4E">
        <w:t>y el Gobierno Autónomo Descentralizado Municipal del Cantón Olmedo, suscribieron un Convenio de Cooperación Técnica, para la Ejecución del Programa Sistema de Información y  Gestión de Tierras Rurales en el cantón Olmedo.</w:t>
      </w:r>
    </w:p>
    <w:p w:rsidR="0060081C" w:rsidRPr="00116D4E" w:rsidRDefault="0060081C" w:rsidP="0060081C">
      <w:pPr>
        <w:jc w:val="both"/>
      </w:pPr>
      <w:r w:rsidRPr="00116D4E">
        <w:t xml:space="preserve">El </w:t>
      </w:r>
      <w:r w:rsidR="003D2EF0" w:rsidRPr="00116D4E">
        <w:t>6 de octubre de 2014, mediante a</w:t>
      </w:r>
      <w:r w:rsidRPr="00116D4E">
        <w:t>cta entrega recepción definitiva de bienes y equipos, la Unidad Ejecutora MAGAP PRAT  traspasó y entregó a perpetuidad al Gobierno Autónomo Descentralizado Municipal del Cantón Olmedo, bienes y equipos los cuales se detallan en  la cláusula segunda del acta entrega recepción definitiva</w:t>
      </w:r>
      <w:r w:rsidR="00116D4E">
        <w:t xml:space="preserve">. </w:t>
      </w:r>
      <w:r w:rsidR="00116D4E" w:rsidRPr="00116D4E">
        <w:rPr>
          <w:b/>
        </w:rPr>
        <w:t>(Anexo 1</w:t>
      </w:r>
      <w:r w:rsidR="00F82BA6" w:rsidRPr="00116D4E">
        <w:rPr>
          <w:b/>
        </w:rPr>
        <w:t>)</w:t>
      </w:r>
    </w:p>
    <w:p w:rsidR="00116D4E" w:rsidRPr="00116D4E" w:rsidRDefault="003D2EF0" w:rsidP="0060081C">
      <w:pPr>
        <w:jc w:val="both"/>
      </w:pPr>
      <w:r w:rsidRPr="00116D4E">
        <w:t>Dentro de los bienes entregados a los que se hace referencia en el párrafo anterior, la Unidad Ejecutora MAGAP PRAT  traspasó y entregó a perpetuidad al Gobierno Autónomo Descentralizado</w:t>
      </w:r>
      <w:r w:rsidR="00E83543" w:rsidRPr="00116D4E">
        <w:t xml:space="preserve"> Municipal del Cantón Olmedo</w:t>
      </w:r>
      <w:r w:rsidRPr="00116D4E">
        <w:t>, el equipo GPS de acuerdo al siguiente detalle:</w:t>
      </w: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2383"/>
        <w:gridCol w:w="916"/>
        <w:gridCol w:w="1110"/>
        <w:gridCol w:w="1548"/>
        <w:gridCol w:w="1072"/>
        <w:gridCol w:w="916"/>
        <w:gridCol w:w="1001"/>
      </w:tblGrid>
      <w:tr w:rsidR="00116D4E" w:rsidRPr="00116D4E" w:rsidTr="00116D4E">
        <w:trPr>
          <w:trHeight w:val="300"/>
        </w:trPr>
        <w:tc>
          <w:tcPr>
            <w:tcW w:w="2384" w:type="dxa"/>
            <w:noWrap/>
            <w:hideMark/>
          </w:tcPr>
          <w:p w:rsidR="003D2EF0" w:rsidRPr="00116D4E" w:rsidRDefault="003D2EF0" w:rsidP="003D2EF0">
            <w:pPr>
              <w:jc w:val="both"/>
              <w:rPr>
                <w:b/>
                <w:bCs/>
              </w:rPr>
            </w:pPr>
            <w:r w:rsidRPr="00116D4E">
              <w:rPr>
                <w:b/>
                <w:bCs/>
              </w:rPr>
              <w:t>EQUIPO</w:t>
            </w:r>
          </w:p>
        </w:tc>
        <w:tc>
          <w:tcPr>
            <w:tcW w:w="910" w:type="dxa"/>
            <w:noWrap/>
            <w:hideMark/>
          </w:tcPr>
          <w:p w:rsidR="003D2EF0" w:rsidRPr="00116D4E" w:rsidRDefault="003D2EF0" w:rsidP="003D2EF0">
            <w:pPr>
              <w:jc w:val="both"/>
              <w:rPr>
                <w:b/>
                <w:bCs/>
              </w:rPr>
            </w:pPr>
            <w:r w:rsidRPr="00116D4E">
              <w:rPr>
                <w:b/>
                <w:bCs/>
              </w:rPr>
              <w:t xml:space="preserve">MARCA </w:t>
            </w:r>
          </w:p>
        </w:tc>
        <w:tc>
          <w:tcPr>
            <w:tcW w:w="1111" w:type="dxa"/>
            <w:noWrap/>
            <w:hideMark/>
          </w:tcPr>
          <w:p w:rsidR="003D2EF0" w:rsidRPr="00116D4E" w:rsidRDefault="003D2EF0" w:rsidP="003D2EF0">
            <w:pPr>
              <w:jc w:val="both"/>
              <w:rPr>
                <w:b/>
                <w:bCs/>
              </w:rPr>
            </w:pPr>
            <w:r w:rsidRPr="00116D4E">
              <w:rPr>
                <w:b/>
                <w:bCs/>
              </w:rPr>
              <w:t xml:space="preserve">MODELO </w:t>
            </w:r>
          </w:p>
        </w:tc>
        <w:tc>
          <w:tcPr>
            <w:tcW w:w="1549" w:type="dxa"/>
            <w:noWrap/>
            <w:hideMark/>
          </w:tcPr>
          <w:p w:rsidR="003D2EF0" w:rsidRPr="00116D4E" w:rsidRDefault="003D2EF0" w:rsidP="003D2EF0">
            <w:pPr>
              <w:jc w:val="both"/>
              <w:rPr>
                <w:b/>
                <w:bCs/>
              </w:rPr>
            </w:pPr>
            <w:r w:rsidRPr="00116D4E">
              <w:rPr>
                <w:b/>
                <w:bCs/>
              </w:rPr>
              <w:t>SERIE</w:t>
            </w:r>
          </w:p>
        </w:tc>
        <w:tc>
          <w:tcPr>
            <w:tcW w:w="1073" w:type="dxa"/>
            <w:noWrap/>
            <w:hideMark/>
          </w:tcPr>
          <w:p w:rsidR="003D2EF0" w:rsidRPr="00116D4E" w:rsidRDefault="003D2EF0" w:rsidP="003D2EF0">
            <w:pPr>
              <w:jc w:val="both"/>
              <w:rPr>
                <w:b/>
                <w:bCs/>
              </w:rPr>
            </w:pPr>
            <w:r w:rsidRPr="00116D4E">
              <w:rPr>
                <w:b/>
                <w:bCs/>
              </w:rPr>
              <w:t xml:space="preserve">ESTADO </w:t>
            </w:r>
          </w:p>
        </w:tc>
        <w:tc>
          <w:tcPr>
            <w:tcW w:w="917" w:type="dxa"/>
            <w:noWrap/>
            <w:hideMark/>
          </w:tcPr>
          <w:p w:rsidR="003D2EF0" w:rsidRPr="00116D4E" w:rsidRDefault="003D2EF0" w:rsidP="003D2EF0">
            <w:pPr>
              <w:jc w:val="both"/>
              <w:rPr>
                <w:b/>
                <w:bCs/>
              </w:rPr>
            </w:pPr>
            <w:r w:rsidRPr="00116D4E">
              <w:rPr>
                <w:b/>
                <w:bCs/>
              </w:rPr>
              <w:t xml:space="preserve">COLOR </w:t>
            </w:r>
          </w:p>
        </w:tc>
        <w:tc>
          <w:tcPr>
            <w:tcW w:w="1002" w:type="dxa"/>
            <w:noWrap/>
            <w:hideMark/>
          </w:tcPr>
          <w:p w:rsidR="003D2EF0" w:rsidRPr="00116D4E" w:rsidRDefault="003D2EF0" w:rsidP="003D2EF0">
            <w:pPr>
              <w:jc w:val="both"/>
              <w:rPr>
                <w:b/>
                <w:bCs/>
              </w:rPr>
            </w:pPr>
            <w:r w:rsidRPr="00116D4E">
              <w:rPr>
                <w:b/>
                <w:bCs/>
              </w:rPr>
              <w:t>VALOR</w:t>
            </w:r>
          </w:p>
        </w:tc>
      </w:tr>
      <w:tr w:rsidR="00116D4E" w:rsidRPr="00116D4E" w:rsidTr="00116D4E">
        <w:trPr>
          <w:trHeight w:val="300"/>
        </w:trPr>
        <w:tc>
          <w:tcPr>
            <w:tcW w:w="2384" w:type="dxa"/>
            <w:noWrap/>
            <w:hideMark/>
          </w:tcPr>
          <w:p w:rsidR="003D2EF0" w:rsidRPr="00116D4E" w:rsidRDefault="003D2EF0" w:rsidP="003D2EF0">
            <w:pPr>
              <w:jc w:val="both"/>
            </w:pPr>
            <w:r w:rsidRPr="00116D4E">
              <w:t>GPS RECEPTOR GSOS PARA CS10 14 CANALES.</w:t>
            </w:r>
          </w:p>
        </w:tc>
        <w:tc>
          <w:tcPr>
            <w:tcW w:w="910" w:type="dxa"/>
            <w:noWrap/>
            <w:hideMark/>
          </w:tcPr>
          <w:p w:rsidR="003D2EF0" w:rsidRPr="00116D4E" w:rsidRDefault="003D2EF0" w:rsidP="003D2EF0">
            <w:pPr>
              <w:jc w:val="both"/>
            </w:pPr>
            <w:r w:rsidRPr="00116D4E">
              <w:t>LEICA</w:t>
            </w:r>
          </w:p>
        </w:tc>
        <w:tc>
          <w:tcPr>
            <w:tcW w:w="1111" w:type="dxa"/>
            <w:noWrap/>
            <w:hideMark/>
          </w:tcPr>
          <w:p w:rsidR="003D2EF0" w:rsidRPr="00116D4E" w:rsidRDefault="003D2EF0" w:rsidP="003D2EF0">
            <w:pPr>
              <w:jc w:val="both"/>
            </w:pPr>
            <w:r w:rsidRPr="00116D4E">
              <w:t>VIVA UNO</w:t>
            </w:r>
          </w:p>
        </w:tc>
        <w:tc>
          <w:tcPr>
            <w:tcW w:w="1549" w:type="dxa"/>
            <w:noWrap/>
            <w:hideMark/>
          </w:tcPr>
          <w:p w:rsidR="003D2EF0" w:rsidRPr="00116D4E" w:rsidRDefault="003D2EF0" w:rsidP="003D2EF0">
            <w:pPr>
              <w:jc w:val="both"/>
            </w:pPr>
            <w:r w:rsidRPr="00116D4E">
              <w:t>22 BFB10300002</w:t>
            </w:r>
          </w:p>
        </w:tc>
        <w:tc>
          <w:tcPr>
            <w:tcW w:w="1073" w:type="dxa"/>
            <w:noWrap/>
            <w:hideMark/>
          </w:tcPr>
          <w:p w:rsidR="003D2EF0" w:rsidRPr="00116D4E" w:rsidRDefault="003D2EF0" w:rsidP="003D2EF0">
            <w:pPr>
              <w:jc w:val="both"/>
            </w:pPr>
            <w:r w:rsidRPr="00116D4E">
              <w:t>NUEVO</w:t>
            </w:r>
          </w:p>
        </w:tc>
        <w:tc>
          <w:tcPr>
            <w:tcW w:w="917" w:type="dxa"/>
            <w:noWrap/>
            <w:hideMark/>
          </w:tcPr>
          <w:p w:rsidR="003D2EF0" w:rsidRPr="00116D4E" w:rsidRDefault="003D2EF0" w:rsidP="003D2EF0">
            <w:pPr>
              <w:jc w:val="both"/>
            </w:pPr>
            <w:r w:rsidRPr="00116D4E">
              <w:t>VERDE</w:t>
            </w:r>
          </w:p>
        </w:tc>
        <w:tc>
          <w:tcPr>
            <w:tcW w:w="1002" w:type="dxa"/>
            <w:noWrap/>
            <w:hideMark/>
          </w:tcPr>
          <w:p w:rsidR="003D2EF0" w:rsidRPr="00116D4E" w:rsidRDefault="003D2EF0" w:rsidP="003D2EF0">
            <w:pPr>
              <w:jc w:val="both"/>
            </w:pPr>
            <w:r w:rsidRPr="00116D4E">
              <w:t>550. 83</w:t>
            </w:r>
          </w:p>
        </w:tc>
      </w:tr>
    </w:tbl>
    <w:p w:rsidR="00E83543" w:rsidRPr="00116D4E" w:rsidRDefault="00E83543" w:rsidP="0060081C">
      <w:pPr>
        <w:jc w:val="both"/>
      </w:pPr>
    </w:p>
    <w:p w:rsidR="003D2EF0" w:rsidRPr="00116D4E" w:rsidRDefault="003D2EF0" w:rsidP="0060081C">
      <w:pPr>
        <w:jc w:val="both"/>
      </w:pPr>
      <w:r w:rsidRPr="00116D4E">
        <w:t>En la cláusula segunda</w:t>
      </w:r>
      <w:r w:rsidR="00E83543" w:rsidRPr="00116D4E">
        <w:t xml:space="preserve"> numeral 2.3</w:t>
      </w:r>
      <w:r w:rsidRPr="00116D4E">
        <w:t xml:space="preserve"> del acta entrega recepción definitiva de bienes y equipos, la Unidad Ejecutora MAGAP PRAT</w:t>
      </w:r>
      <w:r w:rsidR="00E83543" w:rsidRPr="00116D4E">
        <w:t>, indica que eliminara de sus libros contables y registros los bienes objeto del acta y a su vez el Gobierno Autónomo Descentralizado Municipal del Cantón Olmedo incorporará a sus libros contables y registros de bienes.</w:t>
      </w:r>
    </w:p>
    <w:p w:rsidR="002463E0" w:rsidRPr="003F0680" w:rsidRDefault="002463E0" w:rsidP="0006789F">
      <w:pPr>
        <w:jc w:val="both"/>
        <w:rPr>
          <w:rFonts w:ascii="Calibri" w:hAnsi="Calibri"/>
          <w:color w:val="000000"/>
          <w:shd w:val="clear" w:color="auto" w:fill="FFFFFF"/>
        </w:rPr>
      </w:pPr>
      <w:r w:rsidRPr="003F0680">
        <w:rPr>
          <w:rFonts w:ascii="Calibri" w:hAnsi="Calibri"/>
          <w:color w:val="000000"/>
          <w:shd w:val="clear" w:color="auto" w:fill="FFFFFF"/>
        </w:rPr>
        <w:t xml:space="preserve">Con referencia al Oficio enviado el 10 de septiembre de 2019 por el Ing. Fabián Jiménez Jefe de </w:t>
      </w:r>
      <w:r w:rsidR="00FC775D" w:rsidRPr="003F0680">
        <w:rPr>
          <w:rFonts w:ascii="Calibri" w:hAnsi="Calibri"/>
          <w:color w:val="000000"/>
          <w:shd w:val="clear" w:color="auto" w:fill="FFFFFF"/>
        </w:rPr>
        <w:t>Avalúos y Ca</w:t>
      </w:r>
      <w:r w:rsidRPr="003F0680">
        <w:rPr>
          <w:rFonts w:ascii="Calibri" w:hAnsi="Calibri"/>
          <w:color w:val="000000"/>
          <w:shd w:val="clear" w:color="auto" w:fill="FFFFFF"/>
        </w:rPr>
        <w:t xml:space="preserve">tastros </w:t>
      </w:r>
      <w:r w:rsidR="00FC775D" w:rsidRPr="003F0680">
        <w:rPr>
          <w:rFonts w:ascii="Calibri" w:hAnsi="Calibri"/>
          <w:b/>
          <w:color w:val="000000"/>
          <w:shd w:val="clear" w:color="auto" w:fill="FFFFFF"/>
        </w:rPr>
        <w:t xml:space="preserve">(Anexo 2), </w:t>
      </w:r>
      <w:r w:rsidR="00FC775D" w:rsidRPr="003F0680">
        <w:rPr>
          <w:rFonts w:ascii="Calibri" w:hAnsi="Calibri"/>
          <w:color w:val="000000"/>
          <w:shd w:val="clear" w:color="auto" w:fill="FFFFFF"/>
        </w:rPr>
        <w:t xml:space="preserve">se </w:t>
      </w:r>
      <w:r w:rsidRPr="003F0680">
        <w:rPr>
          <w:rFonts w:ascii="Calibri" w:hAnsi="Calibri"/>
          <w:color w:val="000000"/>
          <w:shd w:val="clear" w:color="auto" w:fill="FFFFFF"/>
        </w:rPr>
        <w:t>verifica que n</w:t>
      </w:r>
      <w:r w:rsidR="007B5094" w:rsidRPr="003F0680">
        <w:rPr>
          <w:rFonts w:ascii="Calibri" w:hAnsi="Calibri"/>
          <w:color w:val="000000"/>
          <w:shd w:val="clear" w:color="auto" w:fill="FFFFFF"/>
        </w:rPr>
        <w:t>o existe evidencia</w:t>
      </w:r>
      <w:r w:rsidR="004E0DD9" w:rsidRPr="003F0680">
        <w:rPr>
          <w:rFonts w:ascii="Calibri" w:hAnsi="Calibri"/>
          <w:color w:val="000000"/>
          <w:shd w:val="clear" w:color="auto" w:fill="FFFFFF"/>
        </w:rPr>
        <w:t xml:space="preserve"> alguna del ingreso </w:t>
      </w:r>
      <w:r w:rsidR="007B5094" w:rsidRPr="003F0680">
        <w:rPr>
          <w:rFonts w:ascii="Calibri" w:hAnsi="Calibri"/>
          <w:color w:val="000000"/>
          <w:shd w:val="clear" w:color="auto" w:fill="FFFFFF"/>
        </w:rPr>
        <w:t>del GPS</w:t>
      </w:r>
      <w:r w:rsidR="004E0DD9" w:rsidRPr="003F0680">
        <w:rPr>
          <w:rFonts w:ascii="Calibri" w:hAnsi="Calibri"/>
          <w:color w:val="000000"/>
          <w:shd w:val="clear" w:color="auto" w:fill="FFFFFF"/>
        </w:rPr>
        <w:t>, detallado anteriormente. Se cons</w:t>
      </w:r>
      <w:r w:rsidRPr="003F0680">
        <w:rPr>
          <w:rFonts w:ascii="Calibri" w:hAnsi="Calibri"/>
          <w:color w:val="000000"/>
          <w:shd w:val="clear" w:color="auto" w:fill="FFFFFF"/>
        </w:rPr>
        <w:t>tató que en las Acta de descargo de bienes del entonces Guardalmacé</w:t>
      </w:r>
      <w:r w:rsidR="004E0DD9" w:rsidRPr="003F0680">
        <w:rPr>
          <w:rFonts w:ascii="Calibri" w:hAnsi="Calibri"/>
          <w:color w:val="000000"/>
          <w:shd w:val="clear" w:color="auto" w:fill="FFFFFF"/>
        </w:rPr>
        <w:t>n</w:t>
      </w:r>
      <w:r w:rsidRPr="003F0680">
        <w:rPr>
          <w:rFonts w:ascii="Calibri" w:hAnsi="Calibri"/>
          <w:color w:val="000000"/>
          <w:shd w:val="clear" w:color="auto" w:fill="FFFFFF"/>
        </w:rPr>
        <w:t xml:space="preserve"> y del Ing. Pablo Bravo, no detallan la custodia (recepción) del equipo GPS. </w:t>
      </w:r>
    </w:p>
    <w:p w:rsidR="003F0680" w:rsidRPr="00FC775D" w:rsidRDefault="00FC775D" w:rsidP="0060081C">
      <w:pPr>
        <w:jc w:val="both"/>
      </w:pPr>
      <w:r w:rsidRPr="003F0680">
        <w:rPr>
          <w:rFonts w:ascii="Calibri" w:hAnsi="Calibri"/>
          <w:color w:val="000000"/>
          <w:shd w:val="clear" w:color="auto" w:fill="FFFFFF"/>
        </w:rPr>
        <w:t xml:space="preserve">No obstante, el equipo reposa en las instalaciones de la </w:t>
      </w:r>
      <w:r w:rsidRPr="003F0680">
        <w:t>Unidad Ejecutora MAGAP PRAT.</w:t>
      </w:r>
    </w:p>
    <w:p w:rsidR="00E83543" w:rsidRPr="00116D4E" w:rsidRDefault="00E83543" w:rsidP="0060081C">
      <w:pPr>
        <w:jc w:val="both"/>
        <w:rPr>
          <w:b/>
        </w:rPr>
      </w:pPr>
      <w:r w:rsidRPr="00116D4E">
        <w:rPr>
          <w:b/>
        </w:rPr>
        <w:t>ENTREGA RECEPCIÓN:</w:t>
      </w:r>
    </w:p>
    <w:p w:rsidR="00116D4E" w:rsidRPr="007B5094" w:rsidRDefault="00E83543" w:rsidP="00F82BA6">
      <w:pPr>
        <w:jc w:val="both"/>
      </w:pPr>
      <w:r w:rsidRPr="00116D4E">
        <w:t xml:space="preserve">En </w:t>
      </w:r>
      <w:r w:rsidR="0064027F" w:rsidRPr="00116D4E">
        <w:t xml:space="preserve">virtud de lo expuesto </w:t>
      </w:r>
      <w:r w:rsidRPr="00116D4E">
        <w:t xml:space="preserve">y con el objetivo de dejar constancia </w:t>
      </w:r>
      <w:r w:rsidR="0064027F" w:rsidRPr="00116D4E">
        <w:t>de la devolución del equipo detallado en los antecedentes, la Unidad Ejecutora MAGAP PRAT  entrega el GPS al Gobierno Autónomo Descentralizado Municipal del Cantón Olmedo.</w:t>
      </w:r>
    </w:p>
    <w:p w:rsidR="00116D4E" w:rsidRDefault="00116D4E" w:rsidP="00F82BA6">
      <w:pPr>
        <w:jc w:val="both"/>
        <w:rPr>
          <w:rFonts w:ascii="Calibri" w:hAnsi="Calibri"/>
          <w:b/>
        </w:rPr>
      </w:pPr>
    </w:p>
    <w:p w:rsidR="00F82BA6" w:rsidRPr="00116D4E" w:rsidRDefault="00F82BA6" w:rsidP="00F82BA6">
      <w:pPr>
        <w:jc w:val="both"/>
        <w:rPr>
          <w:b/>
        </w:rPr>
      </w:pPr>
      <w:r w:rsidRPr="00116D4E">
        <w:rPr>
          <w:rFonts w:ascii="Calibri" w:hAnsi="Calibri"/>
          <w:b/>
        </w:rPr>
        <w:t>ACEPTACIÓN DE LAS PARTES:</w:t>
      </w:r>
    </w:p>
    <w:p w:rsidR="00F82BA6" w:rsidRPr="00116D4E" w:rsidRDefault="00F82BA6" w:rsidP="00F82BA6">
      <w:pPr>
        <w:pStyle w:val="Standard"/>
        <w:rPr>
          <w:rFonts w:ascii="Calibri" w:hAnsi="Calibri"/>
          <w:sz w:val="22"/>
          <w:szCs w:val="22"/>
          <w:lang w:val="es-EC"/>
        </w:rPr>
      </w:pPr>
      <w:bookmarkStart w:id="0" w:name="OLE_LINK3"/>
      <w:bookmarkStart w:id="1" w:name="OLE_LINK4"/>
      <w:bookmarkStart w:id="2" w:name="OLE_LINK5"/>
      <w:r w:rsidRPr="00116D4E">
        <w:rPr>
          <w:rFonts w:ascii="Calibri" w:hAnsi="Calibri"/>
          <w:sz w:val="22"/>
          <w:szCs w:val="22"/>
          <w:lang w:val="es-EC"/>
        </w:rPr>
        <w:t xml:space="preserve">Para la constancia y en fe de la aceptación de todo lo constante en este instrumento, las partes suscriben el presente documento en tres ejemplares de igual tenor. </w:t>
      </w:r>
    </w:p>
    <w:p w:rsidR="00994982" w:rsidRDefault="00994982" w:rsidP="00F82BA6">
      <w:pPr>
        <w:pStyle w:val="Standard"/>
        <w:rPr>
          <w:rFonts w:ascii="Calibri" w:hAnsi="Calibri"/>
          <w:b/>
          <w:sz w:val="22"/>
          <w:szCs w:val="22"/>
          <w:lang w:val="es-EC"/>
        </w:rPr>
      </w:pPr>
    </w:p>
    <w:p w:rsidR="00F82BA6" w:rsidRPr="00116D4E" w:rsidRDefault="00F82BA6" w:rsidP="00F82BA6">
      <w:pPr>
        <w:pStyle w:val="Standard"/>
        <w:rPr>
          <w:rFonts w:ascii="Calibri" w:hAnsi="Calibri"/>
          <w:b/>
          <w:color w:val="000000"/>
          <w:sz w:val="22"/>
          <w:szCs w:val="22"/>
          <w:lang w:val="es-EC"/>
        </w:rPr>
      </w:pPr>
      <w:r w:rsidRPr="00116D4E">
        <w:rPr>
          <w:rFonts w:ascii="Calibri" w:hAnsi="Calibri"/>
          <w:b/>
          <w:sz w:val="22"/>
          <w:szCs w:val="22"/>
          <w:lang w:val="es-EC"/>
        </w:rPr>
        <w:t>Quito</w:t>
      </w:r>
      <w:r w:rsidR="007B5094">
        <w:rPr>
          <w:rFonts w:ascii="Calibri" w:hAnsi="Calibri"/>
          <w:b/>
          <w:sz w:val="22"/>
          <w:szCs w:val="22"/>
          <w:lang w:val="es-EC"/>
        </w:rPr>
        <w:t>,</w:t>
      </w:r>
      <w:r w:rsidRPr="00116D4E">
        <w:rPr>
          <w:rFonts w:ascii="Calibri" w:hAnsi="Calibri"/>
          <w:b/>
          <w:sz w:val="22"/>
          <w:szCs w:val="22"/>
          <w:lang w:val="es-EC"/>
        </w:rPr>
        <w:t xml:space="preserve"> 19 de septiembre de 2019.</w:t>
      </w:r>
    </w:p>
    <w:p w:rsidR="00F82BA6" w:rsidRPr="00116D4E" w:rsidRDefault="00F82BA6" w:rsidP="00F82BA6">
      <w:pPr>
        <w:pStyle w:val="Standard"/>
        <w:ind w:left="360"/>
        <w:rPr>
          <w:rFonts w:ascii="Calibri" w:hAnsi="Calibri"/>
          <w:b/>
          <w:color w:val="000000"/>
          <w:sz w:val="22"/>
          <w:szCs w:val="22"/>
          <w:lang w:val="es-EC"/>
        </w:rPr>
      </w:pPr>
    </w:p>
    <w:tbl>
      <w:tblPr>
        <w:tblW w:w="8156" w:type="dxa"/>
        <w:tblInd w:w="2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83"/>
        <w:gridCol w:w="4073"/>
      </w:tblGrid>
      <w:tr w:rsidR="00F82BA6" w:rsidRPr="00116D4E" w:rsidTr="008F6298">
        <w:tc>
          <w:tcPr>
            <w:tcW w:w="40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bookmarkEnd w:id="0"/>
          <w:bookmarkEnd w:id="1"/>
          <w:bookmarkEnd w:id="2"/>
          <w:p w:rsidR="00F82BA6" w:rsidRPr="00116D4E" w:rsidRDefault="00F82BA6" w:rsidP="008F6298">
            <w:pPr>
              <w:pStyle w:val="Standard"/>
              <w:spacing w:after="0"/>
              <w:jc w:val="center"/>
              <w:rPr>
                <w:sz w:val="22"/>
                <w:szCs w:val="22"/>
              </w:rPr>
            </w:pPr>
            <w:r w:rsidRPr="00116D4E">
              <w:rPr>
                <w:rFonts w:ascii="Calibri" w:hAnsi="Calibri"/>
                <w:b/>
                <w:sz w:val="22"/>
                <w:szCs w:val="22"/>
                <w:lang w:val="es-EC"/>
              </w:rPr>
              <w:t>ENTREGUE CONFORME</w:t>
            </w:r>
          </w:p>
        </w:tc>
        <w:tc>
          <w:tcPr>
            <w:tcW w:w="40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BA6" w:rsidRPr="00116D4E" w:rsidRDefault="00F82BA6" w:rsidP="008F6298">
            <w:pPr>
              <w:pStyle w:val="Standard"/>
              <w:spacing w:after="0"/>
              <w:jc w:val="center"/>
              <w:rPr>
                <w:sz w:val="22"/>
                <w:szCs w:val="22"/>
              </w:rPr>
            </w:pPr>
            <w:r w:rsidRPr="00116D4E">
              <w:rPr>
                <w:rFonts w:ascii="Calibri" w:hAnsi="Calibri"/>
                <w:b/>
                <w:sz w:val="22"/>
                <w:szCs w:val="22"/>
                <w:lang w:val="es-EC"/>
              </w:rPr>
              <w:t>RECIBÍ CONFORME</w:t>
            </w:r>
          </w:p>
        </w:tc>
      </w:tr>
      <w:tr w:rsidR="00F82BA6" w:rsidRPr="00116D4E" w:rsidTr="008F6298">
        <w:tc>
          <w:tcPr>
            <w:tcW w:w="40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2BA6" w:rsidRPr="00116D4E" w:rsidRDefault="00F82BA6" w:rsidP="008F6298">
            <w:pPr>
              <w:pStyle w:val="Standard"/>
              <w:spacing w:after="0"/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</w:p>
          <w:p w:rsidR="00F82BA6" w:rsidRPr="00116D4E" w:rsidRDefault="00F82BA6" w:rsidP="008F6298">
            <w:pPr>
              <w:pStyle w:val="Standard"/>
              <w:spacing w:after="0"/>
              <w:jc w:val="center"/>
              <w:rPr>
                <w:rFonts w:ascii="Calibri" w:hAnsi="Calibri"/>
                <w:sz w:val="22"/>
                <w:szCs w:val="22"/>
                <w:lang w:val="es-EC"/>
              </w:rPr>
            </w:pPr>
          </w:p>
          <w:p w:rsidR="00F82BA6" w:rsidRDefault="00F82BA6" w:rsidP="008F6298">
            <w:pPr>
              <w:pStyle w:val="Standard"/>
              <w:spacing w:after="0"/>
              <w:jc w:val="center"/>
              <w:rPr>
                <w:rFonts w:ascii="Calibri" w:hAnsi="Calibri"/>
                <w:sz w:val="22"/>
                <w:szCs w:val="22"/>
                <w:lang w:val="es-EC"/>
              </w:rPr>
            </w:pPr>
          </w:p>
          <w:p w:rsidR="000341EA" w:rsidRDefault="000341EA" w:rsidP="008F6298">
            <w:pPr>
              <w:pStyle w:val="Standard"/>
              <w:spacing w:after="0"/>
              <w:jc w:val="center"/>
              <w:rPr>
                <w:rFonts w:ascii="Calibri" w:hAnsi="Calibri"/>
                <w:sz w:val="22"/>
                <w:szCs w:val="22"/>
                <w:lang w:val="es-EC"/>
              </w:rPr>
            </w:pPr>
          </w:p>
          <w:p w:rsidR="000341EA" w:rsidRPr="00116D4E" w:rsidRDefault="000341EA" w:rsidP="008F6298">
            <w:pPr>
              <w:pStyle w:val="Standard"/>
              <w:spacing w:after="0"/>
              <w:jc w:val="center"/>
              <w:rPr>
                <w:rFonts w:ascii="Calibri" w:hAnsi="Calibri"/>
                <w:sz w:val="22"/>
                <w:szCs w:val="22"/>
                <w:lang w:val="es-EC"/>
              </w:rPr>
            </w:pPr>
          </w:p>
          <w:p w:rsidR="00F82BA6" w:rsidRPr="00116D4E" w:rsidRDefault="00F82BA6" w:rsidP="008F6298">
            <w:pPr>
              <w:pStyle w:val="Standard"/>
              <w:spacing w:after="0"/>
              <w:jc w:val="center"/>
              <w:rPr>
                <w:rFonts w:ascii="Calibri" w:hAnsi="Calibri"/>
                <w:sz w:val="22"/>
                <w:szCs w:val="22"/>
                <w:lang w:val="es-EC"/>
              </w:rPr>
            </w:pPr>
          </w:p>
          <w:p w:rsidR="00F82BA6" w:rsidRDefault="000341EA" w:rsidP="000341EA">
            <w:pPr>
              <w:pStyle w:val="Standard"/>
              <w:spacing w:after="0"/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 w:rsidRPr="000341EA">
              <w:rPr>
                <w:rFonts w:ascii="Calibri" w:hAnsi="Calibri"/>
                <w:b/>
                <w:sz w:val="22"/>
                <w:szCs w:val="22"/>
                <w:lang w:val="es-EC"/>
              </w:rPr>
              <w:t>ANDRÉS ALMEIDA</w:t>
            </w:r>
          </w:p>
          <w:p w:rsidR="000341EA" w:rsidRPr="000341EA" w:rsidRDefault="000341EA" w:rsidP="000341EA">
            <w:pPr>
              <w:pStyle w:val="Standard"/>
              <w:spacing w:after="0"/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>
              <w:rPr>
                <w:rFonts w:ascii="Calibri" w:hAnsi="Calibri"/>
                <w:b/>
                <w:sz w:val="22"/>
                <w:szCs w:val="22"/>
                <w:lang w:val="es-EC"/>
              </w:rPr>
              <w:t>CUSTODIO DE BIENES</w:t>
            </w:r>
          </w:p>
          <w:p w:rsidR="00F82BA6" w:rsidRPr="00116D4E" w:rsidRDefault="00F82BA6" w:rsidP="008F6298">
            <w:pPr>
              <w:pStyle w:val="Standard"/>
              <w:spacing w:after="0"/>
              <w:jc w:val="center"/>
              <w:rPr>
                <w:sz w:val="22"/>
                <w:szCs w:val="22"/>
              </w:rPr>
            </w:pPr>
            <w:r w:rsidRPr="00116D4E">
              <w:rPr>
                <w:rFonts w:ascii="Calibri" w:hAnsi="Calibri"/>
                <w:b/>
                <w:sz w:val="22"/>
                <w:szCs w:val="22"/>
                <w:lang w:val="es-EC"/>
              </w:rPr>
              <w:t>UNIDAD EJECUTORA MAGAP-PRAT</w:t>
            </w:r>
          </w:p>
          <w:p w:rsidR="00F82BA6" w:rsidRPr="00116D4E" w:rsidRDefault="00F82BA6" w:rsidP="008F6298">
            <w:pPr>
              <w:pStyle w:val="Standard"/>
              <w:spacing w:after="0"/>
              <w:jc w:val="center"/>
              <w:rPr>
                <w:rFonts w:ascii="Calibri" w:hAnsi="Calibri"/>
                <w:sz w:val="22"/>
                <w:szCs w:val="22"/>
                <w:lang w:val="es-EC"/>
              </w:rPr>
            </w:pPr>
          </w:p>
          <w:p w:rsidR="00F82BA6" w:rsidRPr="00116D4E" w:rsidRDefault="00F82BA6" w:rsidP="008F6298">
            <w:pPr>
              <w:pStyle w:val="Standard"/>
              <w:spacing w:after="0"/>
              <w:jc w:val="center"/>
              <w:rPr>
                <w:rFonts w:ascii="Calibri" w:hAnsi="Calibri"/>
                <w:sz w:val="22"/>
                <w:szCs w:val="22"/>
                <w:lang w:val="es-EC"/>
              </w:rPr>
            </w:pPr>
          </w:p>
          <w:p w:rsidR="00F82BA6" w:rsidRPr="00116D4E" w:rsidRDefault="00F82BA6" w:rsidP="008F6298">
            <w:pPr>
              <w:pStyle w:val="Standard"/>
              <w:spacing w:after="0"/>
              <w:jc w:val="center"/>
              <w:rPr>
                <w:rFonts w:ascii="Calibri" w:hAnsi="Calibri"/>
                <w:sz w:val="22"/>
                <w:szCs w:val="22"/>
                <w:lang w:val="es-EC"/>
              </w:rPr>
            </w:pPr>
          </w:p>
          <w:p w:rsidR="00F82BA6" w:rsidRPr="00116D4E" w:rsidRDefault="00F82BA6" w:rsidP="008F6298">
            <w:pPr>
              <w:pStyle w:val="Standard"/>
              <w:spacing w:after="0"/>
              <w:jc w:val="center"/>
              <w:rPr>
                <w:rFonts w:ascii="Calibri" w:hAnsi="Calibri"/>
                <w:sz w:val="22"/>
                <w:szCs w:val="22"/>
                <w:lang w:val="es-EC"/>
              </w:rPr>
            </w:pPr>
          </w:p>
          <w:p w:rsidR="00F82BA6" w:rsidRPr="00116D4E" w:rsidRDefault="00F82BA6" w:rsidP="008F6298">
            <w:pPr>
              <w:pStyle w:val="Standard"/>
              <w:spacing w:after="0"/>
              <w:jc w:val="center"/>
              <w:rPr>
                <w:rFonts w:ascii="Calibri" w:hAnsi="Calibri"/>
                <w:sz w:val="22"/>
                <w:szCs w:val="22"/>
                <w:lang w:val="es-EC"/>
              </w:rPr>
            </w:pPr>
          </w:p>
          <w:p w:rsidR="00F82BA6" w:rsidRPr="00116D4E" w:rsidRDefault="00F82BA6" w:rsidP="008F6298">
            <w:pPr>
              <w:jc w:val="center"/>
            </w:pPr>
          </w:p>
          <w:p w:rsidR="00F82BA6" w:rsidRPr="00116D4E" w:rsidRDefault="00F82BA6" w:rsidP="008F6298">
            <w:pPr>
              <w:pStyle w:val="Standard"/>
              <w:spacing w:after="0"/>
              <w:jc w:val="center"/>
              <w:rPr>
                <w:sz w:val="22"/>
                <w:szCs w:val="22"/>
              </w:rPr>
            </w:pPr>
          </w:p>
          <w:p w:rsidR="00F82BA6" w:rsidRPr="00116D4E" w:rsidRDefault="00F82BA6" w:rsidP="008F6298">
            <w:pPr>
              <w:pStyle w:val="Standard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0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BA6" w:rsidRPr="00116D4E" w:rsidRDefault="00F82BA6" w:rsidP="008F6298">
            <w:pPr>
              <w:pStyle w:val="Standard"/>
              <w:spacing w:after="0"/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</w:p>
          <w:p w:rsidR="00F82BA6" w:rsidRPr="00116D4E" w:rsidRDefault="00F82BA6" w:rsidP="008F6298">
            <w:pPr>
              <w:pStyle w:val="Standard"/>
              <w:spacing w:after="0"/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</w:p>
          <w:p w:rsidR="00F82BA6" w:rsidRPr="00116D4E" w:rsidRDefault="00F82BA6" w:rsidP="008F6298">
            <w:pPr>
              <w:pStyle w:val="Standard"/>
              <w:spacing w:after="0"/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</w:p>
          <w:p w:rsidR="00F82BA6" w:rsidRPr="00116D4E" w:rsidRDefault="00F82BA6" w:rsidP="008F6298">
            <w:pPr>
              <w:pStyle w:val="Standard"/>
              <w:spacing w:after="0"/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</w:p>
          <w:p w:rsidR="000341EA" w:rsidRDefault="000341EA" w:rsidP="008F6298">
            <w:pPr>
              <w:pStyle w:val="Standard"/>
              <w:spacing w:after="0"/>
              <w:jc w:val="center"/>
              <w:rPr>
                <w:rFonts w:ascii="Calibri" w:hAnsi="Calibri"/>
                <w:sz w:val="22"/>
                <w:szCs w:val="22"/>
                <w:lang w:val="es-EC"/>
              </w:rPr>
            </w:pPr>
          </w:p>
          <w:p w:rsidR="00F82BA6" w:rsidRPr="00116D4E" w:rsidRDefault="000341EA" w:rsidP="008F6298">
            <w:pPr>
              <w:pStyle w:val="Standard"/>
              <w:spacing w:after="0"/>
              <w:jc w:val="center"/>
              <w:rPr>
                <w:rFonts w:ascii="Calibri" w:hAnsi="Calibri"/>
                <w:sz w:val="22"/>
                <w:szCs w:val="22"/>
                <w:lang w:val="es-EC"/>
              </w:rPr>
            </w:pPr>
            <w:r>
              <w:rPr>
                <w:rFonts w:ascii="Calibri" w:hAnsi="Calibri"/>
                <w:sz w:val="22"/>
                <w:szCs w:val="22"/>
                <w:lang w:val="es-EC"/>
              </w:rPr>
              <w:t xml:space="preserve"> </w:t>
            </w:r>
          </w:p>
          <w:p w:rsidR="00F82BA6" w:rsidRPr="000341EA" w:rsidRDefault="000341EA" w:rsidP="000341EA">
            <w:pPr>
              <w:pStyle w:val="Standard"/>
              <w:spacing w:after="0"/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>
              <w:rPr>
                <w:rFonts w:ascii="Calibri" w:hAnsi="Calibri"/>
                <w:b/>
                <w:sz w:val="22"/>
                <w:szCs w:val="22"/>
                <w:lang w:val="es-EC"/>
              </w:rPr>
              <w:t xml:space="preserve"> </w:t>
            </w:r>
            <w:r w:rsidRPr="000341EA">
              <w:rPr>
                <w:rFonts w:ascii="Calibri" w:hAnsi="Calibri"/>
                <w:b/>
                <w:sz w:val="22"/>
                <w:szCs w:val="22"/>
                <w:lang w:val="es-EC"/>
              </w:rPr>
              <w:t>AR</w:t>
            </w:r>
            <w:r>
              <w:rPr>
                <w:rFonts w:ascii="Calibri" w:hAnsi="Calibri"/>
                <w:b/>
                <w:sz w:val="22"/>
                <w:szCs w:val="22"/>
                <w:lang w:val="es-EC"/>
              </w:rPr>
              <w:t>Q. FIAMA AZANZA CALVA</w:t>
            </w:r>
          </w:p>
          <w:p w:rsidR="00F82BA6" w:rsidRPr="00116D4E" w:rsidRDefault="000341EA" w:rsidP="008F6298">
            <w:pPr>
              <w:pStyle w:val="Standard"/>
              <w:spacing w:after="0"/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  <w:lang w:val="es-EC"/>
              </w:rPr>
              <w:t>TÉCNICA AVALÚOS Y CATASTROS</w:t>
            </w:r>
          </w:p>
          <w:p w:rsidR="00F82BA6" w:rsidRPr="00116D4E" w:rsidRDefault="00F82BA6" w:rsidP="008F6298">
            <w:pPr>
              <w:pStyle w:val="Standard"/>
              <w:spacing w:after="0"/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  <w:r w:rsidRPr="00116D4E">
              <w:rPr>
                <w:rFonts w:ascii="Calibri" w:hAnsi="Calibri"/>
                <w:b/>
                <w:sz w:val="22"/>
                <w:szCs w:val="22"/>
                <w:lang w:val="es-EC"/>
              </w:rPr>
              <w:t>GADM</w:t>
            </w:r>
            <w:r w:rsidR="000341EA">
              <w:rPr>
                <w:rFonts w:ascii="Calibri" w:hAnsi="Calibri"/>
                <w:b/>
                <w:sz w:val="22"/>
                <w:szCs w:val="22"/>
                <w:lang w:val="es-EC"/>
              </w:rPr>
              <w:t xml:space="preserve"> OLMEDO</w:t>
            </w:r>
          </w:p>
          <w:p w:rsidR="00F82BA6" w:rsidRPr="00116D4E" w:rsidRDefault="00F82BA6" w:rsidP="008F6298">
            <w:pPr>
              <w:pStyle w:val="Standard"/>
              <w:spacing w:after="0"/>
              <w:rPr>
                <w:rFonts w:ascii="Calibri" w:hAnsi="Calibri"/>
                <w:sz w:val="22"/>
                <w:szCs w:val="22"/>
                <w:lang w:val="es-EC"/>
              </w:rPr>
            </w:pPr>
          </w:p>
          <w:p w:rsidR="00F82BA6" w:rsidRPr="00116D4E" w:rsidRDefault="00F82BA6" w:rsidP="008F6298">
            <w:pPr>
              <w:pStyle w:val="Standard"/>
              <w:spacing w:after="0"/>
              <w:rPr>
                <w:rFonts w:ascii="Calibri" w:hAnsi="Calibri"/>
                <w:sz w:val="22"/>
                <w:szCs w:val="22"/>
                <w:lang w:val="es-EC"/>
              </w:rPr>
            </w:pPr>
          </w:p>
          <w:p w:rsidR="00F82BA6" w:rsidRPr="00116D4E" w:rsidRDefault="00F82BA6" w:rsidP="008F6298">
            <w:pPr>
              <w:pStyle w:val="Standard"/>
              <w:spacing w:after="0"/>
              <w:rPr>
                <w:rFonts w:ascii="Calibri" w:hAnsi="Calibri"/>
                <w:sz w:val="22"/>
                <w:szCs w:val="22"/>
                <w:lang w:val="es-EC"/>
              </w:rPr>
            </w:pPr>
          </w:p>
          <w:p w:rsidR="00F82BA6" w:rsidRPr="00116D4E" w:rsidRDefault="00F82BA6" w:rsidP="008F6298">
            <w:pPr>
              <w:pStyle w:val="Standard"/>
              <w:spacing w:after="0"/>
              <w:rPr>
                <w:rFonts w:ascii="Calibri" w:hAnsi="Calibri"/>
                <w:sz w:val="22"/>
                <w:szCs w:val="22"/>
                <w:lang w:val="es-EC"/>
              </w:rPr>
            </w:pPr>
          </w:p>
          <w:p w:rsidR="00F82BA6" w:rsidRPr="00116D4E" w:rsidRDefault="00F82BA6" w:rsidP="008F6298">
            <w:pPr>
              <w:pStyle w:val="Standard"/>
              <w:spacing w:after="0"/>
              <w:ind w:left="-1074" w:firstLine="1074"/>
              <w:rPr>
                <w:rFonts w:ascii="Calibri" w:hAnsi="Calibri"/>
                <w:b/>
                <w:sz w:val="22"/>
                <w:szCs w:val="22"/>
                <w:lang w:val="es-EC"/>
              </w:rPr>
            </w:pPr>
          </w:p>
          <w:p w:rsidR="00F82BA6" w:rsidRPr="00116D4E" w:rsidRDefault="00F82BA6" w:rsidP="008F6298">
            <w:pPr>
              <w:pStyle w:val="Standard"/>
              <w:spacing w:after="0"/>
              <w:jc w:val="center"/>
              <w:rPr>
                <w:sz w:val="22"/>
                <w:szCs w:val="22"/>
              </w:rPr>
            </w:pPr>
            <w:bookmarkStart w:id="3" w:name="_GoBack"/>
            <w:bookmarkEnd w:id="3"/>
          </w:p>
        </w:tc>
      </w:tr>
      <w:tr w:rsidR="000341EA" w:rsidRPr="00116D4E" w:rsidTr="008F6298">
        <w:tc>
          <w:tcPr>
            <w:tcW w:w="40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41EA" w:rsidRPr="00116D4E" w:rsidRDefault="000341EA" w:rsidP="008F6298">
            <w:pPr>
              <w:pStyle w:val="Standard"/>
              <w:spacing w:after="0"/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</w:p>
        </w:tc>
        <w:tc>
          <w:tcPr>
            <w:tcW w:w="40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1EA" w:rsidRPr="00116D4E" w:rsidRDefault="000341EA" w:rsidP="008F6298">
            <w:pPr>
              <w:pStyle w:val="Standard"/>
              <w:spacing w:after="0"/>
              <w:jc w:val="center"/>
              <w:rPr>
                <w:rFonts w:ascii="Calibri" w:hAnsi="Calibri"/>
                <w:b/>
                <w:sz w:val="22"/>
                <w:szCs w:val="22"/>
                <w:lang w:val="es-EC"/>
              </w:rPr>
            </w:pPr>
          </w:p>
        </w:tc>
      </w:tr>
    </w:tbl>
    <w:p w:rsidR="00F82BA6" w:rsidRPr="00116D4E" w:rsidRDefault="00F82BA6" w:rsidP="0060081C">
      <w:pPr>
        <w:jc w:val="both"/>
        <w:rPr>
          <w:b/>
        </w:rPr>
      </w:pPr>
    </w:p>
    <w:p w:rsidR="00E83543" w:rsidRPr="00116D4E" w:rsidRDefault="0064027F" w:rsidP="0060081C">
      <w:pPr>
        <w:jc w:val="both"/>
      </w:pPr>
      <w:r w:rsidRPr="00116D4E">
        <w:t xml:space="preserve"> </w:t>
      </w:r>
    </w:p>
    <w:p w:rsidR="0060081C" w:rsidRPr="007329FF" w:rsidRDefault="00E83543" w:rsidP="007329FF">
      <w:pPr>
        <w:jc w:val="both"/>
      </w:pPr>
      <w:r w:rsidRPr="00116D4E">
        <w:tab/>
      </w:r>
    </w:p>
    <w:sectPr w:rsidR="0060081C" w:rsidRPr="007329FF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7F8" w:rsidRDefault="00D057F8" w:rsidP="007329FF">
      <w:pPr>
        <w:spacing w:after="0" w:line="240" w:lineRule="auto"/>
      </w:pPr>
      <w:r>
        <w:separator/>
      </w:r>
    </w:p>
  </w:endnote>
  <w:endnote w:type="continuationSeparator" w:id="0">
    <w:p w:rsidR="00D057F8" w:rsidRDefault="00D057F8" w:rsidP="00732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9896313"/>
      <w:docPartObj>
        <w:docPartGallery w:val="Page Numbers (Bottom of Page)"/>
        <w:docPartUnique/>
      </w:docPartObj>
    </w:sdtPr>
    <w:sdtEndPr/>
    <w:sdtContent>
      <w:p w:rsidR="007329FF" w:rsidRDefault="007329FF" w:rsidP="007329FF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0680" w:rsidRPr="003F0680">
          <w:rPr>
            <w:noProof/>
            <w:lang w:val="es-ES"/>
          </w:rPr>
          <w:t>1</w:t>
        </w:r>
        <w:r>
          <w:fldChar w:fldCharType="end"/>
        </w:r>
        <w:r>
          <w:t xml:space="preserve"> de 2</w:t>
        </w:r>
      </w:p>
    </w:sdtContent>
  </w:sdt>
  <w:p w:rsidR="007329FF" w:rsidRDefault="007329F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7F8" w:rsidRDefault="00D057F8" w:rsidP="007329FF">
      <w:pPr>
        <w:spacing w:after="0" w:line="240" w:lineRule="auto"/>
      </w:pPr>
      <w:r>
        <w:separator/>
      </w:r>
    </w:p>
  </w:footnote>
  <w:footnote w:type="continuationSeparator" w:id="0">
    <w:p w:rsidR="00D057F8" w:rsidRDefault="00D057F8" w:rsidP="00732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9FF" w:rsidRDefault="007329FF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-641985</wp:posOffset>
          </wp:positionH>
          <wp:positionV relativeFrom="paragraph">
            <wp:posOffset>-125730</wp:posOffset>
          </wp:positionV>
          <wp:extent cx="1722755" cy="562610"/>
          <wp:effectExtent l="0" t="0" r="0" b="8890"/>
          <wp:wrapNone/>
          <wp:docPr id="2" name="Imagen 2" descr="C:\Documents and Settings\MICHAEL ALMEIDA\Escritorio\logo_sigtierras_2017-Nuev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Documents and Settings\MICHAEL ALMEIDA\Escritorio\logo_sigtierras_2017-Nuev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2755" cy="562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81C"/>
    <w:rsid w:val="000341EA"/>
    <w:rsid w:val="0006789F"/>
    <w:rsid w:val="00116D4E"/>
    <w:rsid w:val="00132340"/>
    <w:rsid w:val="002463E0"/>
    <w:rsid w:val="002C0905"/>
    <w:rsid w:val="003D2EF0"/>
    <w:rsid w:val="003F0680"/>
    <w:rsid w:val="004E0DD9"/>
    <w:rsid w:val="00581C93"/>
    <w:rsid w:val="00587BED"/>
    <w:rsid w:val="0060081C"/>
    <w:rsid w:val="0064027F"/>
    <w:rsid w:val="007329FF"/>
    <w:rsid w:val="007B5094"/>
    <w:rsid w:val="00994982"/>
    <w:rsid w:val="00C1064D"/>
    <w:rsid w:val="00D057F8"/>
    <w:rsid w:val="00D970AF"/>
    <w:rsid w:val="00E83543"/>
    <w:rsid w:val="00E90611"/>
    <w:rsid w:val="00F82BA6"/>
    <w:rsid w:val="00FC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A4A59F14-A71F-4D51-8F79-835F34106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D2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82BA6"/>
    <w:pPr>
      <w:suppressAutoHyphens/>
      <w:autoSpaceDN w:val="0"/>
      <w:spacing w:line="240" w:lineRule="auto"/>
      <w:textAlignment w:val="baseline"/>
    </w:pPr>
    <w:rPr>
      <w:rFonts w:ascii="Cambria" w:eastAsia="SimSun" w:hAnsi="Cambria" w:cs="F"/>
      <w:kern w:val="3"/>
      <w:sz w:val="24"/>
      <w:szCs w:val="24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7329F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329FF"/>
  </w:style>
  <w:style w:type="paragraph" w:styleId="Piedepgina">
    <w:name w:val="footer"/>
    <w:basedOn w:val="Normal"/>
    <w:link w:val="PiedepginaCar"/>
    <w:uiPriority w:val="99"/>
    <w:unhideWhenUsed/>
    <w:rsid w:val="007329F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329FF"/>
  </w:style>
  <w:style w:type="paragraph" w:styleId="Textodeglobo">
    <w:name w:val="Balloon Text"/>
    <w:basedOn w:val="Normal"/>
    <w:link w:val="TextodegloboCar"/>
    <w:uiPriority w:val="99"/>
    <w:semiHidden/>
    <w:unhideWhenUsed/>
    <w:rsid w:val="003F06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06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406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norma.molina</dc:creator>
  <cp:keywords/>
  <dc:description/>
  <cp:lastModifiedBy>Antonio Bermeo</cp:lastModifiedBy>
  <cp:revision>8</cp:revision>
  <cp:lastPrinted>2019-09-19T20:37:00Z</cp:lastPrinted>
  <dcterms:created xsi:type="dcterms:W3CDTF">2019-09-18T19:48:00Z</dcterms:created>
  <dcterms:modified xsi:type="dcterms:W3CDTF">2019-09-19T20:40:00Z</dcterms:modified>
</cp:coreProperties>
</file>